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2" w:right="0" w:firstLine="0.26771653543310237"/>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This Schedule provides CCS and the Buyer with the option of using Credit Ratings and/or Financial Indicators for the purposes of the Financial Distress Provisions. Buyers may use any combination of these indicators to suit their own requirements subject to the detailed guidance below.]</w:t>
      </w:r>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definitions shall apply:</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10080.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6930"/>
        <w:tblGridChange w:id="0">
          <w:tblGrid>
            <w:gridCol w:w="3150"/>
            <w:gridCol w:w="6930"/>
          </w:tblGrid>
        </w:tblGridChange>
      </w:tblGrid>
      <w:tr>
        <w:trPr>
          <w:cantSplit w:val="0"/>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“Applicable Financial Indicators”</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141.7322834645671"/>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financial indicators from Paragraph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5.1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Supplier’s board of directors;</w:t>
            </w:r>
          </w:p>
        </w:tc>
      </w:tr>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 Confirmation”</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Markets and Suppliers Team”</w:t>
            </w:r>
          </w:p>
        </w:tc>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“FDE Group”</w:t>
            </w:r>
          </w:p>
        </w:tc>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[Supplier, Key Sub-contractors, [the Guarantor] and the [Monitored Suppliers]];</w:t>
            </w:r>
            <w:r w:rsidDel="00000000" w:rsidR="00000000" w:rsidRPr="00000000">
              <w:rPr>
                <w:rtl w:val="0"/>
              </w:rPr>
            </w:r>
          </w:p>
        </w:tc>
      </w:tr>
      <w:tr>
        <w:trPr>
          <w:cantSplit w:val="0"/>
          <w:tblHeader w:val="0"/>
        </w:trPr>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events listed in Paragraph 3.1 of this Schedule;</w:t>
            </w:r>
          </w:p>
        </w:tc>
      </w:tr>
      <w:tr>
        <w:trPr>
          <w:cantSplit w:val="0"/>
          <w:tblHeader w:val="0"/>
        </w:trPr>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Remediation Plan”</w:t>
            </w:r>
          </w:p>
        </w:tc>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p>
        </w:tc>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Thresholds”</w:t>
            </w:r>
          </w:p>
        </w:tc>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Suppliers”</w:t>
            </w:r>
          </w:p>
        </w:tc>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 of this Schedule;</w:t>
            </w:r>
          </w:p>
        </w:tc>
      </w:tr>
      <w:tr>
        <w:trPr>
          <w:cantSplit w:val="0"/>
          <w:tblHeader w:val="0"/>
        </w:trPr>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“Strategic Supplier”</w:t>
            </w:r>
          </w:p>
        </w:tc>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suppliers to government listed at </w:t>
            </w:r>
            <w:hyperlink r:id="r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https://www.gov.uk/government/publications/strategic-suppliers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bl>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FDE Group and the consequences of a change to that financial standing.</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of this Schedule shall survive: </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Warranties and duty to notify</w:t>
      </w:r>
    </w:p>
    <w:p w:rsidR="00000000" w:rsidDel="00000000" w:rsidP="00000000" w:rsidRDefault="00000000" w:rsidRPr="00000000" w14:paraId="0000002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entity in the FDE Group with the Rating Agencies;</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report submitted by the Supplier pursuant to paragraph 2.3.2 shall:</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 single report with separate sections for each of the FDE Group entities;</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key financial and other supporting information (including any accounts data that has been relied on) as separate annexes;</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events</w:t>
      </w:r>
    </w:p>
    <w:p w:rsidR="00000000" w:rsidDel="00000000" w:rsidP="00000000" w:rsidRDefault="00000000" w:rsidRPr="00000000" w14:paraId="000000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shall be Financial Distress Events:</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an FDE Group entity dropping below the applicable Credit Rating Threshold;</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committing a material breach of covenant to its lenders;</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4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an FDE Group entity of any financial indebtedness;</w:t>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an FDE Group entity becoming due as a result of an event of default;</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an FDE Group entity; or</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6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Consequences of Financial Distress Events</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w:t>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Monitored Supplier, the Guarantor and/or any relevant Key Sub-contractor shall):</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5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5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Remediation Plan by the Relevant Authority, the Supplier shall:</w:t>
      </w:r>
    </w:p>
    <w:p w:rsidR="00000000" w:rsidDel="00000000" w:rsidP="00000000" w:rsidRDefault="00000000" w:rsidRPr="00000000" w14:paraId="0000005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fortnightly):</w:t>
      </w:r>
    </w:p>
    <w:p w:rsidR="00000000" w:rsidDel="00000000" w:rsidP="00000000" w:rsidRDefault="00000000" w:rsidRPr="00000000" w14:paraId="0000005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6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p>
    <w:p w:rsidR="00000000" w:rsidDel="00000000" w:rsidP="00000000" w:rsidRDefault="00000000" w:rsidRPr="00000000" w14:paraId="00000061">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The Financial Indicators set out in the table at paragraph 5.1 are  established at Framework level to satisfy Cabinet Office Contract Tiering Tool requirements. For the purposes of your call off activity you may check that the original assessment of the indicators remains valid, but you may not re-run those assessments. You may also opt to ask the Supplier to monitor themselves according to some, rather than all, of the indicators in accordance with your internal procedures but you should not introduce new indicators or amend those set out below. Please take your own legal advice if you are uncertain how to proceed.  ]</w:t>
      </w:r>
    </w:p>
    <w:p w:rsidR="00000000" w:rsidDel="00000000" w:rsidP="00000000" w:rsidRDefault="00000000" w:rsidRPr="00000000" w14:paraId="0000006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Calculation</w:t>
            </w:r>
            <w:r w:rsidDel="00000000" w:rsidR="00000000" w:rsidRPr="00000000">
              <w:rPr>
                <w:rFonts w:ascii="Arial" w:cs="Arial" w:eastAsia="Arial" w:hAnsi="Arial"/>
                <w:b w:val="1"/>
                <w:i w:val="0"/>
                <w:smallCaps w:val="0"/>
                <w:strike w:val="0"/>
                <w:color w:val="000000"/>
                <w:sz w:val="24"/>
                <w:szCs w:val="24"/>
                <w:u w:val="none"/>
                <w:shd w:fill="auto" w:val="clear"/>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w:t>
            </w:r>
          </w:p>
        </w:tc>
        <w:tc>
          <w:tcPr>
            <w:shd w:fill="d9d9d9" w:val="clea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bookmarkStart w:colFirst="0" w:colLast="0" w:name="_heading=h.1ci93xb"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Monitoring and Reporting Frequency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[if different from the default position set out in Paragraph 2.3.2)]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Operating Margin</w:t>
            </w:r>
            <w:r w:rsidDel="00000000" w:rsidR="00000000" w:rsidRPr="00000000">
              <w:rPr>
                <w:rtl w:val="0"/>
              </w:rPr>
            </w:r>
          </w:p>
        </w:tc>
        <w:tc>
          <w:tcP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[Operating Margin = Operating Profit / Revenue]</w:t>
            </w:r>
            <w:r w:rsidDel="00000000" w:rsidR="00000000" w:rsidRPr="00000000">
              <w:rPr>
                <w:rtl w:val="0"/>
              </w:rPr>
            </w:r>
          </w:p>
        </w:tc>
        <w:tc>
          <w:tcP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&gt; </w:t>
            </w:r>
            <w:r w:rsidDel="00000000" w:rsidR="00000000" w:rsidRPr="00000000">
              <w:rPr>
                <w:rFonts w:ascii="Arial" w:cs="Arial" w:eastAsia="Arial" w:hAnsi="Arial"/>
                <w:i w:val="1"/>
                <w:sz w:val="24"/>
                <w:szCs w:val="24"/>
                <w:rtl w:val="0"/>
              </w:rPr>
              <w:t xml:space="preserve">1%</w:t>
            </w:r>
            <w:r w:rsidDel="00000000" w:rsidR="00000000" w:rsidRPr="00000000">
              <w:rPr>
                <w:rtl w:val="0"/>
              </w:rPr>
            </w:r>
          </w:p>
        </w:tc>
        <w:tc>
          <w:tcP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smallCaps w:val="0"/>
                <w:strike w:val="0"/>
                <w:color w:val="000000"/>
                <w:sz w:val="24"/>
                <w:szCs w:val="24"/>
                <w:highlight w:val="yellow"/>
                <w:u w:val="none"/>
                <w:vertAlign w:val="baseline"/>
              </w:rPr>
            </w:pPr>
            <w:r w:rsidDel="00000000" w:rsidR="00000000" w:rsidRPr="00000000">
              <w:rPr>
                <w:rFonts w:ascii="Arial" w:cs="Arial" w:eastAsia="Arial" w:hAnsi="Arial"/>
                <w:b w:val="0"/>
                <w:smallCaps w:val="0"/>
                <w:strike w:val="0"/>
                <w:color w:val="000000"/>
                <w:sz w:val="24"/>
                <w:szCs w:val="24"/>
                <w:u w:val="none"/>
                <w:vertAlign w:val="baseline"/>
                <w:rtl w:val="0"/>
              </w:rPr>
              <w:t xml:space="preserve">Tested and reported </w:t>
            </w:r>
            <w:r w:rsidDel="00000000" w:rsidR="00000000" w:rsidRPr="00000000">
              <w:rPr>
                <w:rFonts w:ascii="Arial" w:cs="Arial" w:eastAsia="Arial" w:hAnsi="Arial"/>
                <w:b w:val="0"/>
                <w:smallCaps w:val="0"/>
                <w:strike w:val="0"/>
                <w:color w:val="000000"/>
                <w:sz w:val="24"/>
                <w:szCs w:val="24"/>
                <w:highlight w:val="yellow"/>
                <w:u w:val="none"/>
                <w:vertAlign w:val="baseline"/>
                <w:rtl w:val="0"/>
              </w:rPr>
              <w:t xml:space="preserve">[yearly]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smallCaps w:val="0"/>
                <w:strike w:val="0"/>
                <w:color w:val="000000"/>
                <w:sz w:val="24"/>
                <w:szCs w:val="24"/>
                <w:u w:val="none"/>
                <w:vertAlign w:val="baseline"/>
                <w:rtl w:val="0"/>
              </w:rPr>
              <w:t xml:space="preserve">in arrears within </w:t>
            </w:r>
            <w:r w:rsidDel="00000000" w:rsidR="00000000" w:rsidRPr="00000000">
              <w:rPr>
                <w:rFonts w:ascii="Arial" w:cs="Arial" w:eastAsia="Arial" w:hAnsi="Arial"/>
                <w:b w:val="0"/>
                <w:smallCaps w:val="0"/>
                <w:strike w:val="0"/>
                <w:color w:val="000000"/>
                <w:sz w:val="24"/>
                <w:szCs w:val="24"/>
                <w:highlight w:val="yellow"/>
                <w:u w:val="none"/>
                <w:vertAlign w:val="baseline"/>
                <w:rtl w:val="0"/>
              </w:rPr>
              <w:t xml:space="preserve">[90]</w:t>
            </w:r>
            <w:r w:rsidDel="00000000" w:rsidR="00000000" w:rsidRPr="00000000">
              <w:rPr>
                <w:rFonts w:ascii="Arial" w:cs="Arial" w:eastAsia="Arial" w:hAnsi="Arial"/>
                <w:b w:val="0"/>
                <w:smallCaps w:val="0"/>
                <w:strike w:val="0"/>
                <w:color w:val="000000"/>
                <w:sz w:val="24"/>
                <w:szCs w:val="24"/>
                <w:u w:val="none"/>
                <w:vertAlign w:val="baseline"/>
                <w:rtl w:val="0"/>
              </w:rPr>
              <w:t xml:space="preserve"> days of each </w:t>
            </w:r>
            <w:r w:rsidDel="00000000" w:rsidR="00000000" w:rsidRPr="00000000">
              <w:rPr>
                <w:rFonts w:ascii="Arial" w:cs="Arial" w:eastAsia="Arial" w:hAnsi="Arial"/>
                <w:b w:val="0"/>
                <w:smallCaps w:val="0"/>
                <w:strike w:val="0"/>
                <w:color w:val="000000"/>
                <w:sz w:val="24"/>
                <w:szCs w:val="24"/>
                <w:highlight w:val="yellow"/>
                <w:u w:val="none"/>
                <w:vertAlign w:val="baseline"/>
                <w:rtl w:val="0"/>
              </w:rPr>
              <w:t xml:space="preserve">[accounting reference date]</w:t>
            </w:r>
            <w:r w:rsidDel="00000000" w:rsidR="00000000" w:rsidRPr="00000000">
              <w:rPr>
                <w:rFonts w:ascii="Arial" w:cs="Arial" w:eastAsia="Arial" w:hAnsi="Arial"/>
                <w:b w:val="0"/>
                <w:smallCaps w:val="0"/>
                <w:strike w:val="0"/>
                <w:color w:val="000000"/>
                <w:sz w:val="24"/>
                <w:szCs w:val="24"/>
                <w:u w:val="none"/>
                <w:vertAlign w:val="baseline"/>
                <w:rtl w:val="0"/>
              </w:rPr>
              <w:t xml:space="preserve"> based upon figures for the 12 months ending on the relevant </w:t>
            </w:r>
            <w:r w:rsidDel="00000000" w:rsidR="00000000" w:rsidRPr="00000000">
              <w:rPr>
                <w:rFonts w:ascii="Arial" w:cs="Arial" w:eastAsia="Arial" w:hAnsi="Arial"/>
                <w:b w:val="0"/>
                <w:smallCaps w:val="0"/>
                <w:strike w:val="0"/>
                <w:color w:val="000000"/>
                <w:sz w:val="24"/>
                <w:szCs w:val="24"/>
                <w:highlight w:val="yellow"/>
                <w:u w:val="none"/>
                <w:vertAlign w:val="baseline"/>
                <w:rtl w:val="0"/>
              </w:rPr>
              <w:t xml:space="preserve">[accounting reference date]</w:t>
            </w:r>
          </w:p>
        </w:tc>
      </w:tr>
      <w:tr>
        <w:trPr>
          <w:cantSplit w:val="0"/>
          <w:tblHeader w:val="0"/>
        </w:trPr>
        <w:tc>
          <w:tcP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7030a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Debt to EBITDA Ratio</w:t>
            </w:r>
            <w:r w:rsidDel="00000000" w:rsidR="00000000" w:rsidRPr="00000000">
              <w:rPr>
                <w:rtl w:val="0"/>
              </w:rPr>
            </w:r>
          </w:p>
        </w:tc>
        <w:tc>
          <w:tcP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7030a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Net Debt to EBITDA ratio = Net Debt / EBITDA</w:t>
            </w:r>
            <w:r w:rsidDel="00000000" w:rsidR="00000000" w:rsidRPr="00000000">
              <w:rPr>
                <w:rtl w:val="0"/>
              </w:rPr>
            </w:r>
          </w:p>
        </w:tc>
        <w:tc>
          <w:tcP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&lt; </w:t>
            </w:r>
            <w:r w:rsidDel="00000000" w:rsidR="00000000" w:rsidRPr="00000000">
              <w:rPr>
                <w:rFonts w:ascii="Arial" w:cs="Arial" w:eastAsia="Arial" w:hAnsi="Arial"/>
                <w:i w:val="1"/>
                <w:sz w:val="24"/>
                <w:szCs w:val="24"/>
                <w:rtl w:val="0"/>
              </w:rPr>
              <w:t xml:space="preserve">3.5</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times</w:t>
            </w:r>
          </w:p>
        </w:tc>
        <w:tc>
          <w:tcP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smallCaps w:val="0"/>
                <w:strike w:val="0"/>
                <w:color w:val="000000"/>
                <w:sz w:val="24"/>
                <w:szCs w:val="24"/>
                <w:u w:val="none"/>
                <w:shd w:fill="auto" w:val="clear"/>
                <w:vertAlign w:val="baseline"/>
              </w:rPr>
            </w:pPr>
            <w:r w:rsidDel="00000000" w:rsidR="00000000" w:rsidRPr="00000000">
              <w:rPr>
                <w:rFonts w:ascii="Arial" w:cs="Arial" w:eastAsia="Arial" w:hAnsi="Arial"/>
                <w:b w:val="0"/>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smallCaps w:val="0"/>
                <w:strike w:val="0"/>
                <w:color w:val="000000"/>
                <w:sz w:val="24"/>
                <w:szCs w:val="24"/>
                <w:highlight w:val="yellow"/>
                <w:u w:val="none"/>
                <w:vertAlign w:val="baseline"/>
                <w:rtl w:val="0"/>
              </w:rPr>
              <w:t xml:space="preserve">[yearly</w:t>
            </w:r>
            <w:r w:rsidDel="00000000" w:rsidR="00000000" w:rsidRPr="00000000">
              <w:rPr>
                <w:rFonts w:ascii="Arial" w:cs="Arial" w:eastAsia="Arial" w:hAnsi="Arial"/>
                <w:b w:val="0"/>
                <w:smallCaps w:val="0"/>
                <w:strike w:val="0"/>
                <w:color w:val="7030a0"/>
                <w:sz w:val="24"/>
                <w:szCs w:val="24"/>
                <w:highlight w:val="yellow"/>
                <w:u w:val="none"/>
                <w:vertAlign w:val="baseline"/>
                <w:rtl w:val="0"/>
              </w:rPr>
              <w:t xml:space="preserve">]</w:t>
            </w:r>
            <w:r w:rsidDel="00000000" w:rsidR="00000000" w:rsidRPr="00000000">
              <w:rPr>
                <w:rFonts w:ascii="Arial" w:cs="Arial" w:eastAsia="Arial" w:hAnsi="Arial"/>
                <w:b w:val="0"/>
                <w:smallCaps w:val="0"/>
                <w:strike w:val="0"/>
                <w:color w:val="7030a0"/>
                <w:sz w:val="24"/>
                <w:szCs w:val="24"/>
                <w:u w:val="none"/>
                <w:shd w:fill="auto" w:val="clear"/>
                <w:vertAlign w:val="baseline"/>
                <w:rtl w:val="0"/>
              </w:rPr>
              <w:t xml:space="preserve"> </w:t>
            </w:r>
            <w:r w:rsidDel="00000000" w:rsidR="00000000" w:rsidRPr="00000000">
              <w:rPr>
                <w:rFonts w:ascii="Arial" w:cs="Arial" w:eastAsia="Arial" w:hAnsi="Arial"/>
                <w:b w:val="0"/>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smallCaps w:val="0"/>
                <w:strike w:val="0"/>
                <w:color w:val="7030a0"/>
                <w:sz w:val="24"/>
                <w:szCs w:val="24"/>
                <w:highlight w:val="yellow"/>
                <w:u w:val="none"/>
                <w:vertAlign w:val="baseline"/>
                <w:rtl w:val="0"/>
              </w:rPr>
              <w:t xml:space="preserve">[</w:t>
            </w:r>
            <w:r w:rsidDel="00000000" w:rsidR="00000000" w:rsidRPr="00000000">
              <w:rPr>
                <w:rFonts w:ascii="Arial" w:cs="Arial" w:eastAsia="Arial" w:hAnsi="Arial"/>
                <w:b w:val="0"/>
                <w:smallCaps w:val="0"/>
                <w:strike w:val="0"/>
                <w:color w:val="000000"/>
                <w:sz w:val="24"/>
                <w:szCs w:val="24"/>
                <w:highlight w:val="yellow"/>
                <w:u w:val="none"/>
                <w:vertAlign w:val="baseline"/>
                <w:rtl w:val="0"/>
              </w:rPr>
              <w:t xml:space="preserve">90]</w:t>
            </w:r>
            <w:r w:rsidDel="00000000" w:rsidR="00000000" w:rsidRPr="00000000">
              <w:rPr>
                <w:rFonts w:ascii="Arial" w:cs="Arial" w:eastAsia="Arial" w:hAnsi="Arial"/>
                <w:b w:val="0"/>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smallCaps w:val="0"/>
                <w:strike w:val="0"/>
                <w:color w:val="000000"/>
                <w:sz w:val="24"/>
                <w:szCs w:val="24"/>
                <w:highlight w:val="yellow"/>
                <w:u w:val="none"/>
                <w:vertAlign w:val="baseline"/>
                <w:rtl w:val="0"/>
              </w:rPr>
              <w:t xml:space="preserve">[accounting reference date</w:t>
            </w:r>
            <w:r w:rsidDel="00000000" w:rsidR="00000000" w:rsidRPr="00000000">
              <w:rPr>
                <w:rFonts w:ascii="Arial" w:cs="Arial" w:eastAsia="Arial" w:hAnsi="Arial"/>
                <w:b w:val="0"/>
                <w:smallCaps w:val="0"/>
                <w:strike w:val="0"/>
                <w:color w:val="7030a0"/>
                <w:sz w:val="24"/>
                <w:szCs w:val="24"/>
                <w:highlight w:val="yellow"/>
                <w:u w:val="none"/>
                <w:vertAlign w:val="baseline"/>
                <w:rtl w:val="0"/>
              </w:rPr>
              <w:t xml:space="preserve">]</w:t>
            </w:r>
            <w:r w:rsidDel="00000000" w:rsidR="00000000" w:rsidRPr="00000000">
              <w:rPr>
                <w:rFonts w:ascii="Arial" w:cs="Arial" w:eastAsia="Arial" w:hAnsi="Arial"/>
                <w:b w:val="0"/>
                <w:smallCaps w:val="0"/>
                <w:strike w:val="0"/>
                <w:color w:val="000000"/>
                <w:sz w:val="24"/>
                <w:szCs w:val="24"/>
                <w:u w:val="none"/>
                <w:shd w:fill="auto" w:val="clear"/>
                <w:vertAlign w:val="baseline"/>
                <w:rtl w:val="0"/>
              </w:rPr>
              <w:t xml:space="preserve"> based upon </w:t>
            </w:r>
            <w:r w:rsidDel="00000000" w:rsidR="00000000" w:rsidRPr="00000000">
              <w:rPr>
                <w:rFonts w:ascii="Arial" w:cs="Arial" w:eastAsia="Arial" w:hAnsi="Arial"/>
                <w:b w:val="0"/>
                <w:smallCaps w:val="0"/>
                <w:strike w:val="0"/>
                <w:color w:val="000000"/>
                <w:sz w:val="24"/>
                <w:szCs w:val="24"/>
                <w:highlight w:val="yellow"/>
                <w:u w:val="none"/>
                <w:vertAlign w:val="baseline"/>
                <w:rtl w:val="0"/>
              </w:rPr>
              <w:t xml:space="preserve">EBITDA</w:t>
            </w:r>
            <w:r w:rsidDel="00000000" w:rsidR="00000000" w:rsidRPr="00000000">
              <w:rPr>
                <w:rFonts w:ascii="Arial" w:cs="Arial" w:eastAsia="Arial" w:hAnsi="Arial"/>
                <w:b w:val="0"/>
                <w:smallCaps w:val="0"/>
                <w:strike w:val="0"/>
                <w:color w:val="000000"/>
                <w:sz w:val="24"/>
                <w:szCs w:val="24"/>
                <w:u w:val="none"/>
                <w:shd w:fill="auto" w:val="clear"/>
                <w:vertAlign w:val="baseline"/>
                <w:rtl w:val="0"/>
              </w:rPr>
              <w:t xml:space="preserve"> for the 12 months ending on, and Net Debt at, the relevant </w:t>
            </w:r>
            <w:r w:rsidDel="00000000" w:rsidR="00000000" w:rsidRPr="00000000">
              <w:rPr>
                <w:rFonts w:ascii="Arial" w:cs="Arial" w:eastAsia="Arial" w:hAnsi="Arial"/>
                <w:b w:val="0"/>
                <w:smallCaps w:val="0"/>
                <w:strike w:val="0"/>
                <w:color w:val="000000"/>
                <w:sz w:val="24"/>
                <w:szCs w:val="24"/>
                <w:highlight w:val="yellow"/>
                <w:u w:val="none"/>
                <w:vertAlign w:val="baseline"/>
                <w:rtl w:val="0"/>
              </w:rPr>
              <w:t xml:space="preserve">[accounting reference date]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Debt + Net Pension Deficit to EBITDA ratio</w:t>
            </w:r>
            <w:r w:rsidDel="00000000" w:rsidR="00000000" w:rsidRPr="00000000">
              <w:rPr>
                <w:rtl w:val="0"/>
              </w:rPr>
            </w:r>
          </w:p>
        </w:tc>
        <w:tc>
          <w:tcP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Net Debt + Net Pension Deficit to EBITDA Ratio = (Net Debt + Net Pension Deficit) / EBITDA</w:t>
            </w:r>
            <w:r w:rsidDel="00000000" w:rsidR="00000000" w:rsidRPr="00000000">
              <w:rPr>
                <w:rtl w:val="0"/>
              </w:rPr>
            </w:r>
          </w:p>
        </w:tc>
        <w:tc>
          <w:tcP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&lt; </w:t>
            </w:r>
            <w:r w:rsidDel="00000000" w:rsidR="00000000" w:rsidRPr="00000000">
              <w:rPr>
                <w:rFonts w:ascii="Arial" w:cs="Arial" w:eastAsia="Arial" w:hAnsi="Arial"/>
                <w:i w:val="1"/>
                <w:sz w:val="24"/>
                <w:szCs w:val="24"/>
                <w:rtl w:val="0"/>
              </w:rPr>
              <w:t xml:space="preserve">5</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times</w:t>
            </w:r>
          </w:p>
        </w:tc>
        <w:tc>
          <w:tcP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smallCaps w:val="0"/>
                <w:strike w:val="0"/>
                <w:color w:val="000000"/>
                <w:sz w:val="24"/>
                <w:szCs w:val="24"/>
                <w:u w:val="none"/>
                <w:shd w:fill="auto" w:val="clear"/>
                <w:vertAlign w:val="baseline"/>
              </w:rPr>
            </w:pPr>
            <w:r w:rsidDel="00000000" w:rsidR="00000000" w:rsidRPr="00000000">
              <w:rPr>
                <w:rFonts w:ascii="Arial" w:cs="Arial" w:eastAsia="Arial" w:hAnsi="Arial"/>
                <w:b w:val="0"/>
                <w:smallCaps w:val="0"/>
                <w:strike w:val="0"/>
                <w:color w:val="000000"/>
                <w:sz w:val="24"/>
                <w:szCs w:val="24"/>
                <w:u w:val="none"/>
                <w:shd w:fill="auto" w:val="clear"/>
                <w:vertAlign w:val="baseline"/>
                <w:rtl w:val="0"/>
              </w:rPr>
              <w:t xml:space="preserve">Tested and reported yearly in arrears within [</w:t>
            </w:r>
            <w:r w:rsidDel="00000000" w:rsidR="00000000" w:rsidRPr="00000000">
              <w:rPr>
                <w:rFonts w:ascii="Arial" w:cs="Arial" w:eastAsia="Arial" w:hAnsi="Arial"/>
                <w:b w:val="0"/>
                <w:smallCaps w:val="0"/>
                <w:strike w:val="0"/>
                <w:sz w:val="24"/>
                <w:szCs w:val="24"/>
                <w:highlight w:val="yellow"/>
                <w:u w:val="none"/>
                <w:vertAlign w:val="baseline"/>
                <w:rtl w:val="0"/>
              </w:rPr>
              <w:t xml:space="preserve">90]</w:t>
            </w:r>
            <w:r w:rsidDel="00000000" w:rsidR="00000000" w:rsidRPr="00000000">
              <w:rPr>
                <w:rFonts w:ascii="Arial" w:cs="Arial" w:eastAsia="Arial" w:hAnsi="Arial"/>
                <w:b w:val="0"/>
                <w:smallCaps w:val="0"/>
                <w:strike w:val="0"/>
                <w:color w:val="f79646"/>
                <w:sz w:val="24"/>
                <w:szCs w:val="24"/>
                <w:u w:val="none"/>
                <w:shd w:fill="auto" w:val="clear"/>
                <w:vertAlign w:val="baseline"/>
                <w:rtl w:val="0"/>
              </w:rPr>
              <w:t xml:space="preserve"> </w:t>
            </w:r>
            <w:r w:rsidDel="00000000" w:rsidR="00000000" w:rsidRPr="00000000">
              <w:rPr>
                <w:rFonts w:ascii="Arial" w:cs="Arial" w:eastAsia="Arial" w:hAnsi="Arial"/>
                <w:b w:val="0"/>
                <w:smallCaps w:val="0"/>
                <w:strike w:val="0"/>
                <w:color w:val="000000"/>
                <w:sz w:val="24"/>
                <w:szCs w:val="24"/>
                <w:u w:val="none"/>
                <w:shd w:fill="auto" w:val="clear"/>
                <w:vertAlign w:val="baseline"/>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Interest Paid Cover</w:t>
            </w:r>
            <w:r w:rsidDel="00000000" w:rsidR="00000000" w:rsidRPr="00000000">
              <w:rPr>
                <w:rtl w:val="0"/>
              </w:rPr>
            </w:r>
          </w:p>
        </w:tc>
        <w:tc>
          <w:tcP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Net Interest Paid Cover = Earnings Before Interest and Tax / Net Interest Paid</w:t>
            </w:r>
          </w:p>
        </w:tc>
        <w:tc>
          <w:tcP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&gt; 3</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times</w:t>
            </w:r>
          </w:p>
        </w:tc>
        <w:tc>
          <w:tcP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8064a2"/>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figures for the 12 months ending on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5</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Acid Ratio</w:t>
            </w:r>
            <w:r w:rsidDel="00000000" w:rsidR="00000000" w:rsidRPr="00000000">
              <w:rPr>
                <w:rtl w:val="0"/>
              </w:rPr>
            </w:r>
          </w:p>
        </w:tc>
        <w:tc>
          <w:tcP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Acid Ratio = (Current Assets – Inventories) / Current Liabilities</w:t>
            </w:r>
            <w:r w:rsidDel="00000000" w:rsidR="00000000" w:rsidRPr="00000000">
              <w:rPr>
                <w:rtl w:val="0"/>
              </w:rPr>
            </w:r>
          </w:p>
        </w:tc>
        <w:tc>
          <w:tcP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&gt; </w:t>
            </w:r>
            <w:r w:rsidDel="00000000" w:rsidR="00000000" w:rsidRPr="00000000">
              <w:rPr>
                <w:rFonts w:ascii="Arial" w:cs="Arial" w:eastAsia="Arial" w:hAnsi="Arial"/>
                <w:i w:val="1"/>
                <w:sz w:val="24"/>
                <w:szCs w:val="24"/>
                <w:rtl w:val="0"/>
              </w:rPr>
              <w:t xml:space="preserve">0.8</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imes</w:t>
            </w:r>
          </w:p>
        </w:tc>
        <w:tc>
          <w:tcP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based upon figures at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6</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Asset value</w:t>
            </w:r>
            <w:r w:rsidDel="00000000" w:rsidR="00000000" w:rsidRPr="00000000">
              <w:rPr>
                <w:rtl w:val="0"/>
              </w:rPr>
            </w:r>
          </w:p>
        </w:tc>
        <w:tc>
          <w:tcP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Net Asset Value = Net Assets</w:t>
            </w:r>
            <w:r w:rsidDel="00000000" w:rsidR="00000000" w:rsidRPr="00000000">
              <w:rPr>
                <w:rtl w:val="0"/>
              </w:rPr>
            </w:r>
          </w:p>
        </w:tc>
        <w:tc>
          <w:tcP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&gt; £0</w:t>
            </w:r>
            <w:r w:rsidDel="00000000" w:rsidR="00000000" w:rsidRPr="00000000">
              <w:rPr>
                <w:rtl w:val="0"/>
              </w:rPr>
            </w:r>
          </w:p>
        </w:tc>
        <w:tc>
          <w:tcP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based upon figures at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7</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Group Exposure Ratio</w:t>
            </w:r>
            <w:r w:rsidDel="00000000" w:rsidR="00000000" w:rsidRPr="00000000">
              <w:rPr>
                <w:rtl w:val="0"/>
              </w:rPr>
            </w:r>
          </w:p>
        </w:tc>
        <w:tc>
          <w:tcP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Group Exposure / Gross Assets</w:t>
            </w:r>
            <w:r w:rsidDel="00000000" w:rsidR="00000000" w:rsidRPr="00000000">
              <w:rPr>
                <w:rtl w:val="0"/>
              </w:rPr>
            </w:r>
          </w:p>
        </w:tc>
        <w:tc>
          <w:tcP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&lt; </w:t>
            </w:r>
            <w:r w:rsidDel="00000000" w:rsidR="00000000" w:rsidRPr="00000000">
              <w:rPr>
                <w:rFonts w:ascii="Arial" w:cs="Arial" w:eastAsia="Arial" w:hAnsi="Arial"/>
                <w:i w:val="1"/>
                <w:sz w:val="24"/>
                <w:szCs w:val="24"/>
                <w:rtl w:val="0"/>
              </w:rPr>
              <w:t xml:space="preserve">50</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90 days of each accounting reference date based upon figures at the relevant accounting reference date</w:t>
            </w:r>
          </w:p>
        </w:tc>
      </w:tr>
    </w:tbl>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Suppliers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w:t>
            </w:r>
          </w:p>
        </w:tc>
        <w:tc>
          <w:tcPr>
            <w:shd w:fill="d9d9d9" w:val="clea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Applicable Financial Indicators</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2 e.g Group Member, Sub-contractor, Relevant Parent Company etc.]</w:t>
            </w:r>
          </w:p>
        </w:tc>
        <w:tc>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p>
        </w:tc>
      </w:tr>
      <w:tr>
        <w:trPr>
          <w:cantSplit w:val="0"/>
          <w:tblHeader w:val="0"/>
        </w:trPr>
        <w:tc>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c>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r>
    </w:tbl>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rights</w:t>
      </w:r>
    </w:p>
    <w:p w:rsidR="00000000" w:rsidDel="00000000" w:rsidP="00000000" w:rsidRDefault="00000000" w:rsidRPr="00000000" w14:paraId="0000009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be entitled to terminate the Contract if:</w:t>
      </w:r>
    </w:p>
    <w:p w:rsidR="00000000" w:rsidDel="00000000" w:rsidP="00000000" w:rsidRDefault="00000000" w:rsidRPr="00000000" w14:paraId="0000009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2.3.3;</w:t>
      </w:r>
    </w:p>
    <w:p w:rsidR="00000000" w:rsidDel="00000000" w:rsidP="00000000" w:rsidRDefault="00000000" w:rsidRPr="00000000" w14:paraId="000000A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A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Primacy of Credit Ratings</w:t>
      </w:r>
    </w:p>
    <w:p w:rsidR="00000000" w:rsidDel="00000000" w:rsidP="00000000" w:rsidRDefault="00000000" w:rsidRPr="00000000" w14:paraId="000000A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A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A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 confirmation</w:t>
      </w:r>
    </w:p>
    <w:p w:rsidR="00000000" w:rsidDel="00000000" w:rsidP="00000000" w:rsidRDefault="00000000" w:rsidRPr="00000000" w14:paraId="000000A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If the Contract has been specified as a Critical Service Contract under Paragraph 1.1 of Call-Off Schedule 24 (Corporate Resolution Planning)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A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A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0A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A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A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F">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B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1]</w:t>
      </w:r>
    </w:p>
    <w:p w:rsidR="00000000" w:rsidDel="00000000" w:rsidP="00000000" w:rsidRDefault="00000000" w:rsidRPr="00000000" w14:paraId="000000B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2]</w:t>
      </w:r>
    </w:p>
    <w:p w:rsidR="00000000" w:rsidDel="00000000" w:rsidP="00000000" w:rsidRDefault="00000000" w:rsidRPr="00000000" w14:paraId="000000B2">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2bn6wsx"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2</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Ratings and Credit Rating Thresholds</w:t>
      </w:r>
      <w:r w:rsidDel="00000000" w:rsidR="00000000" w:rsidRPr="00000000">
        <w:rPr>
          <w:rtl w:val="0"/>
        </w:rPr>
      </w:r>
    </w:p>
    <w:tbl>
      <w:tblPr>
        <w:tblStyle w:val="Table4"/>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B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B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B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B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rating]</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B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B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B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B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3: Calculation methodology for Financial Indicators</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bookmarkStart w:colFirst="0" w:colLast="0" w:name="_heading=h.qsh70q" w:id="4"/>
      <w:bookmarkEnd w:id="4"/>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[Guidance: Amend this section as appropriate to reflect the calculation methodology for those Financial Indicators that are selected for inclusion in Paragraph 5.1 of this Schedule]</w:t>
      </w: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General methodology</w:t>
      </w:r>
    </w:p>
    <w:p w:rsidR="00000000" w:rsidDel="00000000" w:rsidP="00000000" w:rsidRDefault="00000000" w:rsidRPr="00000000" w14:paraId="000000C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Terminology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C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5"/>
      <w:bookmarkEnd w:id="5"/>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C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Foreign currency conversion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C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Treatment of non-underlying items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Specific Methodology</w:t>
      </w:r>
    </w:p>
    <w:tbl>
      <w:tblPr>
        <w:tblStyle w:val="Table5"/>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Methodology</w:t>
            </w:r>
          </w:p>
        </w:tc>
      </w:tr>
      <w:tr>
        <w:trPr>
          <w:cantSplit w:val="0"/>
          <w:tblHeader w:val="0"/>
        </w:trPr>
        <w:tc>
          <w:tcPr>
            <w:vAlign w:val="cente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Margin</w:t>
            </w:r>
          </w:p>
        </w:tc>
        <w:tc>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Figures for Operating Profit and Revenue should exclude the entity’s share of the results of any joint ventures or Associates.</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 entity has an operating loss (i.e. where the operating profit is negative), Operating Profit should be taken to be zero.</w:t>
            </w:r>
          </w:p>
        </w:tc>
      </w:tr>
      <w:tr>
        <w:trPr>
          <w:cantSplit w:val="0"/>
          <w:tblHeader w:val="0"/>
        </w:trPr>
        <w:tc>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Free Cash Flow to Net Debt Ratio</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Debt to EBITDA Ratio</w:t>
            </w:r>
          </w:p>
        </w:tc>
        <w:tc>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Free Cash Flow</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Net Cash Flow from Operating Activities – Capital Expenditure</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Capital Expenditure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Purchase of property, plant &amp; equipment + purchase of intangible assets</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Cash Flow from Operating Activities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should be stated after deduction of interest and tax paid.</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Capital expenditure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is negative (i.e. an entity has net cash), the relevant Financial Target Threshold should be treated as having been met.</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 + Depreciation charge + Amortisation charge</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is negative (i.e. an entity has net cash), the relevant Financial Target Threshold should be treated as having been met. </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bookmarkStart w:colFirst="0" w:colLast="0" w:name="_heading=h.1pxezwc" w:id="6"/>
            <w:bookmarkEnd w:id="6"/>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EBITDA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Debt + Net  Pension Deficit to EBITDA ratio</w:t>
            </w:r>
          </w:p>
        </w:tc>
        <w:tc>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Pension Deficit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Retirement Benefit Obligations – Retirement Benefit Assets</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 + Depreciation charge + Amortisation charge</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not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non-designated hedges). Borrowings should also include balances owed to other group members.</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Pension Deficit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 Net Pension Deficit’ is negative, the relevant Financial Target Threshold should be treated as having been met.</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EBITDA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Interest Paid Cover</w:t>
            </w:r>
          </w:p>
        </w:tc>
        <w:tc>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Earnings Before Interest and Tax</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Interest Paid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Interest paid – Interest received</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Interest received and interest paid should be shown on the face of the Cash Flow statement.</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Acid Ratio</w:t>
            </w:r>
          </w:p>
        </w:tc>
        <w:tc>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Asset value</w:t>
            </w:r>
          </w:p>
        </w:tc>
        <w:tc>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Group Exposure Ratio</w:t>
            </w:r>
          </w:p>
        </w:tc>
        <w:tc>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 Exposure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Balances owed by Group Undertakings + Contingent liabilities assumed in support of Group Undertakings</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Gross Assets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Fixed Assets + Current Assets</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Group Exposure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Gross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Both Fixed assets and Current assets are shown on the face of the Balance Sheet</w:t>
            </w:r>
          </w:p>
        </w:tc>
      </w:tr>
    </w:tbl>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4">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p2csry" w:id="8"/>
      <w:bookmarkEnd w:id="8"/>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Annex 4: Board Confirmation</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Name:</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Reference Number:</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acknowledge the requirements set out at paragraph 8 of Joint Schedule 7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Financial Distress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2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720"/>
          <w:tab w:val="left" w:leader="none"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previous Board Confirmation and the Effective Date or is subsisting; or</w:t>
      </w:r>
    </w:p>
    <w:p w:rsidR="00000000" w:rsidDel="00000000" w:rsidP="00000000" w:rsidRDefault="00000000" w:rsidRPr="00000000" w14:paraId="0000012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720"/>
          <w:tab w:val="left" w:leader="none"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behalf of the Board of Directors:</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Chair</w:t>
        <w:tab/>
        <w:tab/>
        <w:t xml:space="preserve">…………………………………</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w:t>
        <w:tab/>
        <w:tab/>
        <w:t xml:space="preserve">…………………………………</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38">
      <w:pPr>
        <w:spacing w:after="200" w:line="276" w:lineRule="auto"/>
        <w:jc w:val="left"/>
        <w:rPr>
          <w:rFonts w:ascii="Arial" w:cs="Arial" w:eastAsia="Arial" w:hAnsi="Arial"/>
          <w:sz w:val="24"/>
          <w:szCs w:val="24"/>
        </w:rPr>
      </w:pPr>
      <w:bookmarkStart w:colFirst="0" w:colLast="0" w:name="_heading=h.4i7ojhp" w:id="10"/>
      <w:bookmarkEnd w:id="10"/>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D">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v3.6</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E">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0">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rsid w:val="00A96D9C"/>
    <w:pPr>
      <w:keepNext w:val="1"/>
      <w:keepLines w:val="1"/>
      <w:spacing w:after="120" w:before="480"/>
      <w:outlineLvl w:val="0"/>
    </w:pPr>
    <w:rPr>
      <w:b w:val="1"/>
      <w:sz w:val="48"/>
      <w:szCs w:val="48"/>
      <w:lang w:eastAsia="en-GB"/>
    </w:rPr>
  </w:style>
  <w:style w:type="paragraph" w:styleId="Heading2">
    <w:name w:val="heading 2"/>
    <w:basedOn w:val="Normal"/>
    <w:next w:val="Normal"/>
    <w:link w:val="Heading2Char"/>
    <w:rsid w:val="00A96D9C"/>
    <w:pPr>
      <w:keepNext w:val="1"/>
      <w:keepLines w:val="1"/>
      <w:spacing w:after="80" w:before="360"/>
      <w:outlineLvl w:val="1"/>
    </w:pPr>
    <w:rPr>
      <w:b w:val="1"/>
      <w:sz w:val="36"/>
      <w:szCs w:val="36"/>
      <w:lang w:eastAsia="en-GB"/>
    </w:rPr>
  </w:style>
  <w:style w:type="paragraph" w:styleId="Heading3">
    <w:name w:val="heading 3"/>
    <w:basedOn w:val="Normal"/>
    <w:next w:val="Normal"/>
    <w:link w:val="Heading3Char"/>
    <w:rsid w:val="00A96D9C"/>
    <w:pPr>
      <w:keepNext w:val="1"/>
      <w:keepLines w:val="1"/>
      <w:spacing w:after="80" w:before="280"/>
      <w:outlineLvl w:val="2"/>
    </w:pPr>
    <w:rPr>
      <w:b w:val="1"/>
      <w:sz w:val="28"/>
      <w:szCs w:val="28"/>
      <w:lang w:eastAsia="en-GB"/>
    </w:rPr>
  </w:style>
  <w:style w:type="paragraph" w:styleId="Heading4">
    <w:name w:val="heading 4"/>
    <w:basedOn w:val="Normal"/>
    <w:next w:val="Normal"/>
    <w:link w:val="Heading4Char"/>
    <w:rsid w:val="00A96D9C"/>
    <w:pPr>
      <w:keepNext w:val="1"/>
      <w:keepLines w:val="1"/>
      <w:spacing w:after="40" w:before="240"/>
      <w:outlineLvl w:val="3"/>
    </w:pPr>
    <w:rPr>
      <w:b w:val="1"/>
      <w:sz w:val="24"/>
      <w:szCs w:val="24"/>
      <w:lang w:eastAsia="en-GB"/>
    </w:rPr>
  </w:style>
  <w:style w:type="paragraph" w:styleId="Heading5">
    <w:name w:val="heading 5"/>
    <w:basedOn w:val="Normal"/>
    <w:next w:val="Normal"/>
    <w:link w:val="Heading5Char"/>
    <w:rsid w:val="00A96D9C"/>
    <w:pPr>
      <w:keepNext w:val="1"/>
      <w:keepLines w:val="1"/>
      <w:spacing w:after="40" w:before="220"/>
      <w:outlineLvl w:val="4"/>
    </w:pPr>
    <w:rPr>
      <w:b w:val="1"/>
      <w:lang w:eastAsia="en-GB"/>
    </w:rPr>
  </w:style>
  <w:style w:type="paragraph" w:styleId="Heading6">
    <w:name w:val="heading 6"/>
    <w:basedOn w:val="Normal"/>
    <w:next w:val="Normal"/>
    <w:link w:val="Heading6Char"/>
    <w:rsid w:val="00A96D9C"/>
    <w:pPr>
      <w:keepNext w:val="1"/>
      <w:keepLines w:val="1"/>
      <w:spacing w:after="40" w:before="200"/>
      <w:outlineLvl w:val="5"/>
    </w:pPr>
    <w:rPr>
      <w:b w:val="1"/>
      <w:sz w:val="20"/>
      <w:szCs w:val="20"/>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rsid w:val="00A96D9C"/>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A96D9C"/>
    <w:pPr>
      <w:numPr>
        <w:ilvl w:val="2"/>
        <w:numId w:val="2"/>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A96D9C"/>
    <w:pPr>
      <w:numPr>
        <w:ilvl w:val="3"/>
      </w:numPr>
      <w:tabs>
        <w:tab w:val="clear" w:pos="1985"/>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rsid w:val="00A96D9C"/>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rsid w:val="00A96D9C"/>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A96D9C"/>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4"/>
      </w:numPr>
      <w:overflowPunct w:val="1"/>
      <w:autoSpaceDE w:val="1"/>
      <w:autoSpaceDN w:val="1"/>
      <w:adjustRightInd w:val="1"/>
      <w:spacing w:after="300" w:before="100"/>
      <w:jc w:val="center"/>
      <w:textAlignment w:val="auto"/>
    </w:pPr>
    <w:rPr>
      <w:rFonts w:ascii="Arial Bold" w:cs="Times New Roman" w:hAnsi="Arial Bold"/>
      <w:b w:val="1"/>
      <w:caps w:val="1"/>
      <w:sz w:val="24"/>
      <w:szCs w:val="24"/>
      <w:lang w:eastAsia="en-GB"/>
    </w:rPr>
  </w:style>
  <w:style w:type="paragraph" w:styleId="AppendixText1" w:customStyle="1">
    <w:name w:val="Appendix Text 1"/>
    <w:basedOn w:val="Normal"/>
    <w:next w:val="StdBodyText1"/>
    <w:rsid w:val="006B02AC"/>
    <w:pPr>
      <w:numPr>
        <w:numId w:val="5"/>
      </w:num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paragraph" w:styleId="AppendixText2" w:customStyle="1">
    <w:name w:val="Appendix Text 2"/>
    <w:basedOn w:val="AppendixText1"/>
    <w:next w:val="Normal"/>
    <w:rsid w:val="006B02AC"/>
    <w:pPr>
      <w:numPr>
        <w:ilvl w:val="1"/>
      </w:numPr>
    </w:pPr>
    <w:rPr>
      <w:b w:val="0"/>
    </w:rPr>
  </w:style>
  <w:style w:type="paragraph" w:styleId="AppendixText3" w:customStyle="1">
    <w:name w:val="Appendix Text 3"/>
    <w:basedOn w:val="Normal"/>
    <w:next w:val="Normal"/>
    <w:rsid w:val="006B02AC"/>
    <w:pPr>
      <w:numPr>
        <w:ilvl w:val="2"/>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4" w:customStyle="1">
    <w:name w:val="Appendix Text 4"/>
    <w:basedOn w:val="Normal"/>
    <w:next w:val="Normal"/>
    <w:rsid w:val="006B02AC"/>
    <w:pPr>
      <w:numPr>
        <w:ilvl w:val="3"/>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5" w:customStyle="1">
    <w:name w:val="Appendix Text 5"/>
    <w:basedOn w:val="Normal"/>
    <w:next w:val="Normal"/>
    <w:rsid w:val="006B02AC"/>
    <w:pPr>
      <w:numPr>
        <w:ilvl w:val="4"/>
        <w:numId w:val="5"/>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pPr>
      <w:numPr>
        <w:numId w:val="7"/>
      </w:numPr>
    </w:pPr>
  </w:style>
  <w:style w:type="numbering" w:styleId="Scheduleheading" w:customStyle="1">
    <w:name w:val="Schedule heading"/>
    <w:uiPriority w:val="99"/>
    <w:rsid w:val="0034142A"/>
    <w:pPr>
      <w:numPr>
        <w:numId w:val="8"/>
      </w:numPr>
    </w:pPr>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lang w:eastAsia="en-GB"/>
    </w:rPr>
  </w:style>
  <w:style w:type="character" w:styleId="Heading1Char" w:customStyle="1">
    <w:name w:val="Heading 1 Char"/>
    <w:basedOn w:val="DefaultParagraphFont"/>
    <w:link w:val="Heading1"/>
    <w:rsid w:val="00A96D9C"/>
    <w:rPr>
      <w:rFonts w:ascii="Calibri" w:cs="Arial" w:eastAsia="Times New Roman" w:hAnsi="Calibri"/>
      <w:b w:val="1"/>
      <w:sz w:val="48"/>
      <w:szCs w:val="48"/>
      <w:lang w:eastAsia="en-GB"/>
    </w:rPr>
  </w:style>
  <w:style w:type="character" w:styleId="Heading2Char" w:customStyle="1">
    <w:name w:val="Heading 2 Char"/>
    <w:basedOn w:val="DefaultParagraphFont"/>
    <w:link w:val="Heading2"/>
    <w:rsid w:val="00A96D9C"/>
    <w:rPr>
      <w:rFonts w:ascii="Calibri" w:cs="Arial" w:eastAsia="Times New Roman" w:hAnsi="Calibri"/>
      <w:b w:val="1"/>
      <w:sz w:val="36"/>
      <w:szCs w:val="36"/>
      <w:lang w:eastAsia="en-GB"/>
    </w:rPr>
  </w:style>
  <w:style w:type="character" w:styleId="Heading3Char" w:customStyle="1">
    <w:name w:val="Heading 3 Char"/>
    <w:basedOn w:val="DefaultParagraphFont"/>
    <w:link w:val="Heading3"/>
    <w:rsid w:val="00A96D9C"/>
    <w:rPr>
      <w:rFonts w:ascii="Calibri" w:cs="Arial" w:eastAsia="Times New Roman" w:hAnsi="Calibri"/>
      <w:b w:val="1"/>
      <w:sz w:val="28"/>
      <w:szCs w:val="28"/>
      <w:lang w:eastAsia="en-GB"/>
    </w:rPr>
  </w:style>
  <w:style w:type="character" w:styleId="Heading4Char" w:customStyle="1">
    <w:name w:val="Heading 4 Char"/>
    <w:basedOn w:val="DefaultParagraphFont"/>
    <w:link w:val="Heading4"/>
    <w:rsid w:val="00A96D9C"/>
    <w:rPr>
      <w:rFonts w:ascii="Calibri" w:cs="Arial" w:eastAsia="Times New Roman" w:hAnsi="Calibri"/>
      <w:b w:val="1"/>
      <w:sz w:val="24"/>
      <w:szCs w:val="24"/>
      <w:lang w:eastAsia="en-GB"/>
    </w:rPr>
  </w:style>
  <w:style w:type="character" w:styleId="Heading5Char" w:customStyle="1">
    <w:name w:val="Heading 5 Char"/>
    <w:basedOn w:val="DefaultParagraphFont"/>
    <w:link w:val="Heading5"/>
    <w:rsid w:val="00A96D9C"/>
    <w:rPr>
      <w:rFonts w:ascii="Calibri" w:cs="Arial" w:eastAsia="Times New Roman" w:hAnsi="Calibri"/>
      <w:b w:val="1"/>
      <w:lang w:eastAsia="en-GB"/>
    </w:rPr>
  </w:style>
  <w:style w:type="character" w:styleId="Heading6Char" w:customStyle="1">
    <w:name w:val="Heading 6 Char"/>
    <w:basedOn w:val="DefaultParagraphFont"/>
    <w:link w:val="Heading6"/>
    <w:rsid w:val="00A96D9C"/>
    <w:rPr>
      <w:rFonts w:ascii="Calibri" w:cs="Arial" w:eastAsia="Times New Roman" w:hAnsi="Calibri"/>
      <w:b w:val="1"/>
      <w:sz w:val="20"/>
      <w:szCs w:val="20"/>
      <w:lang w:eastAsia="en-GB"/>
    </w:rPr>
  </w:style>
  <w:style w:type="paragraph" w:styleId="Title">
    <w:name w:val="Title"/>
    <w:basedOn w:val="Normal"/>
    <w:next w:val="Normal"/>
    <w:link w:val="TitleChar"/>
    <w:rsid w:val="00A96D9C"/>
    <w:pPr>
      <w:keepNext w:val="1"/>
      <w:keepLines w:val="1"/>
      <w:spacing w:after="120" w:before="480"/>
    </w:pPr>
    <w:rPr>
      <w:b w:val="1"/>
      <w:sz w:val="72"/>
      <w:szCs w:val="72"/>
      <w:lang w:eastAsia="en-GB"/>
    </w:rPr>
  </w:style>
  <w:style w:type="character" w:styleId="TitleChar" w:customStyle="1">
    <w:name w:val="Title Char"/>
    <w:basedOn w:val="DefaultParagraphFont"/>
    <w:link w:val="Title"/>
    <w:rsid w:val="00A96D9C"/>
    <w:rPr>
      <w:rFonts w:ascii="Calibri" w:cs="Arial" w:eastAsia="Times New Roman" w:hAnsi="Calibri"/>
      <w:b w:val="1"/>
      <w:sz w:val="72"/>
      <w:szCs w:val="72"/>
      <w:lang w:eastAsia="en-GB"/>
    </w:rPr>
  </w:style>
  <w:style w:type="paragraph" w:styleId="Subtitle">
    <w:name w:val="Subtitle"/>
    <w:basedOn w:val="Normal"/>
    <w:next w:val="Normal"/>
    <w:link w:val="SubtitleChar"/>
    <w:rsid w:val="00A96D9C"/>
    <w:pPr>
      <w:keepNext w:val="1"/>
      <w:keepLines w:val="1"/>
      <w:spacing w:after="80" w:before="360"/>
    </w:pPr>
    <w:rPr>
      <w:rFonts w:ascii="Georgia" w:cs="Georgia" w:eastAsia="Georgia" w:hAnsi="Georgia"/>
      <w:i w:val="1"/>
      <w:color w:val="666666"/>
      <w:sz w:val="48"/>
      <w:szCs w:val="48"/>
      <w:lang w:eastAsia="en-GB"/>
    </w:rPr>
  </w:style>
  <w:style w:type="character" w:styleId="SubtitleChar" w:customStyle="1">
    <w:name w:val="Subtitle Char"/>
    <w:basedOn w:val="DefaultParagraphFont"/>
    <w:link w:val="Subtitle"/>
    <w:rsid w:val="00A96D9C"/>
    <w:rPr>
      <w:rFonts w:ascii="Georgia" w:cs="Georgia" w:eastAsia="Georgia" w:hAnsi="Georgia"/>
      <w:i w:val="1"/>
      <w:color w:val="666666"/>
      <w:sz w:val="48"/>
      <w:szCs w:val="48"/>
      <w:lang w:eastAsia="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FfQzvPg7weKVatUpClCES3n1wA==">CgMxLjAyCWguM2R5NnZrbTIJaC4xY2k5M3hiMgloLjN3aHdtbDQyCWguMmJuNndzeDIIaC5xc2g3MHEyCWguM2FzNHBvajIJaC4xcHhlendjMgloLjQ5eDJpazUyCWguMnAyY3NyeTIJaC4xNDduMnpyMgloLjRpN29qaHA4AHIhMTRmWlZOOWJHWVhRelE4ZFJ4amZzVFdfdy1Xa1RfYjNT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2023-02-05T22:26:00Z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